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B214DD" w:rsidRDefault="00B214DD"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p>
    <w:p w:rsidR="0060048C"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Pr>
          <w:rFonts w:ascii="Times New Roman" w:eastAsia="Times New Roman" w:hAnsi="Times New Roman" w:cs="Times New Roman"/>
          <w:color w:val="0D0D0D" w:themeColor="text1" w:themeTint="F2"/>
          <w:sz w:val="24"/>
          <w:szCs w:val="24"/>
          <w:lang w:eastAsia="en-GB"/>
        </w:rPr>
        <w:t>Carolina State's</w:t>
      </w:r>
      <w:r w:rsidR="0060048C" w:rsidRPr="00AF39D9">
        <w:rPr>
          <w:rFonts w:ascii="Times New Roman" w:eastAsia="Times New Roman" w:hAnsi="Times New Roman" w:cs="Times New Roman"/>
          <w:color w:val="0D0D0D" w:themeColor="text1" w:themeTint="F2"/>
          <w:sz w:val="24"/>
          <w:szCs w:val="24"/>
          <w:lang w:eastAsia="en-GB"/>
        </w:rPr>
        <w:t xml:space="preserve"> Judicial Selection System</w:t>
      </w: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Pr>
          <w:rFonts w:ascii="Times New Roman" w:eastAsia="Times New Roman" w:hAnsi="Times New Roman" w:cs="Times New Roman"/>
          <w:color w:val="0D0D0D" w:themeColor="text1" w:themeTint="F2"/>
          <w:sz w:val="24"/>
          <w:szCs w:val="24"/>
          <w:lang w:eastAsia="en-GB"/>
        </w:rPr>
        <w:t>Name</w:t>
      </w: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Pr>
          <w:rFonts w:ascii="Times New Roman" w:eastAsia="Times New Roman" w:hAnsi="Times New Roman" w:cs="Times New Roman"/>
          <w:color w:val="0D0D0D" w:themeColor="text1" w:themeTint="F2"/>
          <w:sz w:val="24"/>
          <w:szCs w:val="24"/>
          <w:lang w:eastAsia="en-GB"/>
        </w:rPr>
        <w:t>Instructor</w:t>
      </w:r>
    </w:p>
    <w:p w:rsidR="007D5697"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Pr>
          <w:rFonts w:ascii="Times New Roman" w:eastAsia="Times New Roman" w:hAnsi="Times New Roman" w:cs="Times New Roman"/>
          <w:color w:val="0D0D0D" w:themeColor="text1" w:themeTint="F2"/>
          <w:sz w:val="24"/>
          <w:szCs w:val="24"/>
          <w:lang w:eastAsia="en-GB"/>
        </w:rPr>
        <w:t>Course</w:t>
      </w:r>
    </w:p>
    <w:p w:rsidR="007D5697" w:rsidRPr="00AF39D9" w:rsidRDefault="007D5697" w:rsidP="007D5697">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Pr>
          <w:rFonts w:ascii="Times New Roman" w:eastAsia="Times New Roman" w:hAnsi="Times New Roman" w:cs="Times New Roman"/>
          <w:color w:val="0D0D0D" w:themeColor="text1" w:themeTint="F2"/>
          <w:sz w:val="24"/>
          <w:szCs w:val="24"/>
          <w:lang w:eastAsia="en-GB"/>
        </w:rPr>
        <w:t>Date</w:t>
      </w:r>
    </w:p>
    <w:p w:rsidR="00D470BF" w:rsidRPr="00AF39D9" w:rsidRDefault="00D470BF" w:rsidP="007D5697">
      <w:pPr>
        <w:spacing w:line="480" w:lineRule="auto"/>
        <w:rPr>
          <w:rFonts w:ascii="Times New Roman" w:hAnsi="Times New Roman" w:cs="Times New Roman"/>
          <w:color w:val="0D0D0D" w:themeColor="text1" w:themeTint="F2"/>
          <w:sz w:val="24"/>
          <w:szCs w:val="24"/>
          <w:shd w:val="clear" w:color="auto" w:fill="FFFFFF"/>
        </w:rPr>
      </w:pPr>
    </w:p>
    <w:p w:rsidR="00D470BF" w:rsidRPr="00AF39D9" w:rsidRDefault="00D470BF" w:rsidP="007D5697">
      <w:pPr>
        <w:spacing w:line="480" w:lineRule="auto"/>
        <w:contextualSpacing/>
        <w:rPr>
          <w:rFonts w:ascii="Times New Roman" w:hAnsi="Times New Roman" w:cs="Times New Roman"/>
          <w:color w:val="0D0D0D" w:themeColor="text1" w:themeTint="F2"/>
          <w:sz w:val="24"/>
          <w:szCs w:val="24"/>
        </w:rPr>
      </w:pPr>
    </w:p>
    <w:p w:rsidR="009779EB" w:rsidRPr="00AF39D9" w:rsidRDefault="009779EB" w:rsidP="007D5697">
      <w:pPr>
        <w:spacing w:line="480" w:lineRule="auto"/>
        <w:contextualSpacing/>
        <w:rPr>
          <w:rFonts w:ascii="Times New Roman" w:hAnsi="Times New Roman" w:cs="Times New Roman"/>
          <w:color w:val="0D0D0D" w:themeColor="text1" w:themeTint="F2"/>
          <w:sz w:val="24"/>
          <w:szCs w:val="24"/>
        </w:rPr>
      </w:pPr>
      <w:r w:rsidRPr="00AF39D9">
        <w:rPr>
          <w:rFonts w:ascii="Times New Roman" w:hAnsi="Times New Roman" w:cs="Times New Roman"/>
          <w:color w:val="0D0D0D" w:themeColor="text1" w:themeTint="F2"/>
          <w:sz w:val="24"/>
          <w:szCs w:val="24"/>
        </w:rPr>
        <w:br/>
      </w:r>
      <w:r w:rsidRPr="00AF39D9">
        <w:rPr>
          <w:rFonts w:ascii="Times New Roman" w:hAnsi="Times New Roman" w:cs="Times New Roman"/>
          <w:color w:val="0D0D0D" w:themeColor="text1" w:themeTint="F2"/>
          <w:sz w:val="24"/>
          <w:szCs w:val="24"/>
        </w:rPr>
        <w:br/>
      </w:r>
    </w:p>
    <w:p w:rsidR="007441D3" w:rsidRPr="0007538D" w:rsidRDefault="009779EB" w:rsidP="0007538D">
      <w:pPr>
        <w:spacing w:line="480" w:lineRule="auto"/>
        <w:jc w:val="center"/>
        <w:rPr>
          <w:rFonts w:ascii="Times New Roman" w:hAnsi="Times New Roman" w:cs="Times New Roman"/>
          <w:color w:val="0D0D0D" w:themeColor="text1" w:themeTint="F2"/>
          <w:sz w:val="24"/>
          <w:szCs w:val="24"/>
        </w:rPr>
      </w:pPr>
      <w:r w:rsidRPr="0007538D">
        <w:rPr>
          <w:rFonts w:ascii="Times New Roman" w:hAnsi="Times New Roman" w:cs="Times New Roman"/>
          <w:color w:val="0D0D0D" w:themeColor="text1" w:themeTint="F2"/>
          <w:sz w:val="24"/>
          <w:szCs w:val="24"/>
        </w:rPr>
        <w:br w:type="page"/>
      </w:r>
      <w:r w:rsidR="00F00ED7" w:rsidRPr="0007538D">
        <w:rPr>
          <w:rFonts w:ascii="Times New Roman" w:hAnsi="Times New Roman" w:cs="Times New Roman"/>
          <w:color w:val="0D0D0D" w:themeColor="text1" w:themeTint="F2"/>
          <w:sz w:val="24"/>
          <w:szCs w:val="24"/>
        </w:rPr>
        <w:lastRenderedPageBreak/>
        <w:t xml:space="preserve">The South Carolina </w:t>
      </w:r>
      <w:r w:rsidRPr="0007538D">
        <w:rPr>
          <w:rFonts w:ascii="Times New Roman" w:hAnsi="Times New Roman" w:cs="Times New Roman"/>
          <w:color w:val="0D0D0D" w:themeColor="text1" w:themeTint="F2"/>
          <w:sz w:val="24"/>
          <w:szCs w:val="24"/>
        </w:rPr>
        <w:t>Judges Selection Process and Qualifications</w:t>
      </w:r>
    </w:p>
    <w:p w:rsidR="00FB28C5" w:rsidRPr="00FB28C5" w:rsidRDefault="0071087A" w:rsidP="007D5697">
      <w:pPr>
        <w:spacing w:line="48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r w:rsidR="00FB28C5" w:rsidRPr="00FB28C5">
        <w:rPr>
          <w:rFonts w:ascii="Times New Roman" w:hAnsi="Times New Roman" w:cs="Times New Roman"/>
          <w:color w:val="0D0D0D" w:themeColor="text1" w:themeTint="F2"/>
          <w:sz w:val="24"/>
          <w:szCs w:val="24"/>
        </w:rPr>
        <w:t xml:space="preserve">There are various court and judge levels in all the states. Unfortunately, their judges' election processes vary all through the states. According to the South Carolina Supreme Court, it is made up of the four Associate Justices together with a Chief Justice elected by the General Assembly for ten years term. To any number of terms, a justice may be re-elected because the justices' terms are staggered. Election implementation of the General Assembly's joint public vote is used in the determination of the South Carolina Supreme Court judges. The judges' selection by lawmakers is distinctively revealed in only the South Carolina and Virginia states. There must be a vote and presentation record regarding the vote of every General Assembly member in every election contest. Before election presentation by the General Assembly, the Judicial Merit Selection Commission initially ensures screening of the Supreme Court's candidates. Based on their seats the arrangement and election of the five justices are performed. The associated candidates should geographically come from the same State. During determination of the candidates to the State Supreme Court, the Judicial Merit Selection Commission considers various aspects that comprise of: - judicial temperament, experience, mental stability, physical health, reputation, character, professional and academic ability, ethical fitness, and the constitutional qualifications of the candidates (Judicial Merit Selection Commission, 2011). </w:t>
      </w:r>
    </w:p>
    <w:p w:rsidR="00FB28C5" w:rsidRPr="00FB28C5" w:rsidRDefault="0071087A" w:rsidP="007D5697">
      <w:pPr>
        <w:spacing w:line="48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r w:rsidR="00FB28C5" w:rsidRPr="00FB28C5">
        <w:rPr>
          <w:rFonts w:ascii="Times New Roman" w:hAnsi="Times New Roman" w:cs="Times New Roman"/>
          <w:color w:val="0D0D0D" w:themeColor="text1" w:themeTint="F2"/>
          <w:sz w:val="24"/>
          <w:szCs w:val="24"/>
        </w:rPr>
        <w:t xml:space="preserve">The General Assembly joint public voting is essentially considered in an election of the Court of Appeal members. Prior to election presentation by the General Assembly, the Judicial Merit Selection Commission initially ensures the required qualifications through screening of the Court of Appeals' candidates. Arrangement and election of the nine judges of the Court of Appeals are based on their respective seats. The associated candidates should geographically come from the same State. In regard to the South Carolina Court of Appeals, comprises of eight Associate Judges and the Chief Judge elected by the General Assembly for </w:t>
      </w:r>
      <w:r w:rsidR="00FB28C5" w:rsidRPr="00FB28C5">
        <w:rPr>
          <w:rFonts w:ascii="Times New Roman" w:hAnsi="Times New Roman" w:cs="Times New Roman"/>
          <w:color w:val="0D0D0D" w:themeColor="text1" w:themeTint="F2"/>
          <w:sz w:val="24"/>
          <w:szCs w:val="24"/>
        </w:rPr>
        <w:lastRenderedPageBreak/>
        <w:t>six years term. Similarly, the candidates serving qualifications match the highlights of the South Carolina Supreme Court that comprise of the judicial temperament, experience, mental stability, physical health, reputation, character, professional and academic ability, ethical fitness, and the constitutional qualifications of the candidates (Judicial Merit Selection Commission, 2011). For a six years term, the General Assembly is equipped with the mandate to elect the South Carolina Circuit Courts judges. The South Carolina Supreme Court chief justice is mandated to choose the court's chief judge to serve a six months term. The court's serving qualifications are similar to those of the Supreme Court of South Carolina State (Judicial Merit Selection Commission, 2011).</w:t>
      </w:r>
    </w:p>
    <w:p w:rsidR="00FB28C5" w:rsidRPr="00FB28C5" w:rsidRDefault="0071087A" w:rsidP="007D5697">
      <w:pPr>
        <w:spacing w:line="48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r w:rsidR="00FB28C5" w:rsidRPr="00FB28C5">
        <w:rPr>
          <w:rFonts w:ascii="Times New Roman" w:hAnsi="Times New Roman" w:cs="Times New Roman"/>
          <w:color w:val="0D0D0D" w:themeColor="text1" w:themeTint="F2"/>
          <w:sz w:val="24"/>
          <w:szCs w:val="24"/>
        </w:rPr>
        <w:t xml:space="preserve">Election of the Family Court judges is based on the General Assembly joint public voting. In addition, Family Court judge candidates are initially screened and pre-qualified under the Judicial Merit Selection Commission before the elect presentation by the General Assembly. There is a variable number of the required resident family and family judges in every one of the sixteen circuits. In the present day, the South Carolina State holds fifty-two (52) family judges. According to the Judicial Merit Selection Commission, 2011, the South Carolina State government has an executive branch agency known as the South Carolina Administrative Law Judge Division. This Administrative Law Judge Division agency comprises of six administrative law judges who are chosen under a joint election voting by the General Assembly. The Judicial Merit Selection Commission is responsibly mandated pre-qualifications and evaluation of the Administrative Law Division candidates before the presentation of the General Assembly elections. Election and arrangement of the Administrative Law Judges are accordingly held in respect to the position. The contesting candidates should emerge from the geographical region of the State. The General Assembly in concession with the Governor's advice responsibly appoints the State masters-in-equity. In vacancy incidents regarding the office of the State master inequity, the Judicial Merit </w:t>
      </w:r>
      <w:r w:rsidR="00FB28C5" w:rsidRPr="00FB28C5">
        <w:rPr>
          <w:rFonts w:ascii="Times New Roman" w:hAnsi="Times New Roman" w:cs="Times New Roman"/>
          <w:color w:val="0D0D0D" w:themeColor="text1" w:themeTint="F2"/>
          <w:sz w:val="24"/>
          <w:szCs w:val="24"/>
        </w:rPr>
        <w:lastRenderedPageBreak/>
        <w:t>Selection Commission is responsible for the candidates' submitted applications. Ultimately, the commission reports and recommendations delivered to the right region law-making delegations. Then with none obstructive aspect, the Governor's considerable appointment is made for the named candidate under the county legislative delegations' submission. With the consent and advice of the Senate, every county Governor is responsible to appoint the magistrates. The county senatorial delegations present recommendations to the County Governor regarding the magistrates. The South Carolina Municipal Courts are individually run in respect to their residing municipality. Consequently, municipal courts portray uniform rules all over the state and every municipal judge is appointed by the municipal council. The probation court judges are elected by the eligible county voters for a four years term (Anastopoulo, n.d.).</w:t>
      </w:r>
    </w:p>
    <w:p w:rsidR="009779EB" w:rsidRPr="00AF39D9" w:rsidRDefault="0071087A" w:rsidP="007D5697">
      <w:pPr>
        <w:spacing w:line="48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r w:rsidR="00FB28C5" w:rsidRPr="00FB28C5">
        <w:rPr>
          <w:rFonts w:ascii="Times New Roman" w:hAnsi="Times New Roman" w:cs="Times New Roman"/>
          <w:color w:val="0D0D0D" w:themeColor="text1" w:themeTint="F2"/>
          <w:sz w:val="24"/>
          <w:szCs w:val="24"/>
        </w:rPr>
        <w:t>Advantageously, the Judicial Conduct Commission was formed aiming investigation of the judicial misconduct complaints and unjust judgment made against parties in the South Carolina unified court system. The general public interest is essentially represented in the judicial court system. An authorized investigation is reasonably commissioned upon removal of any judge from the office. This effectively follows the procedural determinations of the commission that removal, criticism, and admonishment of a judge is evidently forwarded to Chief Judge of the Court of Appeals where the case is served. A limitation occurs when the preliminary investigation is conducted by the disciplinary counsel under the Supreme Court's appointee who is responsible for every complaints' evaluation and dismissal. Unfortunately, this associate a complete complaint evaluation only authorized under the complaint supportive evidence. Removal, retirement, dismissal, transfer to inactive status, and sanctions are the Supreme Courts' recommendations upon any conducted hearing associated with the necessary filling of formal charges (American Judicature Society, 2014).</w:t>
      </w:r>
    </w:p>
    <w:p w:rsidR="009779EB" w:rsidRPr="00AF39D9" w:rsidRDefault="009779EB" w:rsidP="007D5697">
      <w:pPr>
        <w:spacing w:line="480" w:lineRule="auto"/>
        <w:ind w:firstLine="720"/>
        <w:jc w:val="center"/>
        <w:rPr>
          <w:rFonts w:ascii="Times New Roman" w:hAnsi="Times New Roman" w:cs="Times New Roman"/>
          <w:color w:val="0D0D0D" w:themeColor="text1" w:themeTint="F2"/>
          <w:sz w:val="24"/>
          <w:szCs w:val="24"/>
        </w:rPr>
      </w:pPr>
      <w:r w:rsidRPr="00AF39D9">
        <w:rPr>
          <w:rFonts w:ascii="Times New Roman" w:hAnsi="Times New Roman" w:cs="Times New Roman"/>
          <w:color w:val="0D0D0D" w:themeColor="text1" w:themeTint="F2"/>
          <w:sz w:val="24"/>
          <w:szCs w:val="24"/>
        </w:rPr>
        <w:br w:type="page"/>
      </w:r>
      <w:r w:rsidRPr="00AF39D9">
        <w:rPr>
          <w:rFonts w:ascii="Times New Roman" w:hAnsi="Times New Roman" w:cs="Times New Roman"/>
          <w:color w:val="0D0D0D" w:themeColor="text1" w:themeTint="F2"/>
          <w:sz w:val="24"/>
          <w:szCs w:val="24"/>
        </w:rPr>
        <w:lastRenderedPageBreak/>
        <w:t>References</w:t>
      </w:r>
    </w:p>
    <w:p w:rsidR="00E446AF" w:rsidRPr="00AF39D9" w:rsidRDefault="00E446AF" w:rsidP="007D5697">
      <w:pPr>
        <w:spacing w:line="480" w:lineRule="auto"/>
        <w:ind w:left="720" w:hanging="720"/>
        <w:rPr>
          <w:rFonts w:ascii="Times New Roman" w:hAnsi="Times New Roman" w:cs="Times New Roman"/>
          <w:color w:val="0D0D0D" w:themeColor="text1" w:themeTint="F2"/>
          <w:sz w:val="24"/>
          <w:szCs w:val="24"/>
        </w:rPr>
      </w:pPr>
      <w:r w:rsidRPr="00AF39D9">
        <w:rPr>
          <w:rFonts w:ascii="Times New Roman" w:hAnsi="Times New Roman" w:cs="Times New Roman"/>
          <w:color w:val="0D0D0D" w:themeColor="text1" w:themeTint="F2"/>
          <w:sz w:val="24"/>
          <w:szCs w:val="24"/>
        </w:rPr>
        <w:t xml:space="preserve">American Judicature Society.  (2014). </w:t>
      </w:r>
      <w:r w:rsidRPr="00AF39D9">
        <w:rPr>
          <w:rFonts w:ascii="Times New Roman" w:hAnsi="Times New Roman" w:cs="Times New Roman"/>
          <w:i/>
          <w:color w:val="0D0D0D" w:themeColor="text1" w:themeTint="F2"/>
          <w:sz w:val="24"/>
          <w:szCs w:val="24"/>
        </w:rPr>
        <w:t>Judicial selection in South Carolina</w:t>
      </w:r>
      <w:r w:rsidRPr="00AF39D9">
        <w:rPr>
          <w:rFonts w:ascii="Times New Roman" w:hAnsi="Times New Roman" w:cs="Times New Roman"/>
          <w:color w:val="0D0D0D" w:themeColor="text1" w:themeTint="F2"/>
          <w:sz w:val="24"/>
          <w:szCs w:val="24"/>
        </w:rPr>
        <w:t>.  Retrieved from http://www.judicialselection.us/judicial_selection/index.cfm?state=SC</w:t>
      </w:r>
    </w:p>
    <w:p w:rsidR="00E446AF" w:rsidRPr="00AF39D9" w:rsidRDefault="00E446AF" w:rsidP="007D5697">
      <w:pPr>
        <w:spacing w:line="480" w:lineRule="auto"/>
        <w:ind w:left="720" w:hanging="720"/>
        <w:contextualSpacing/>
        <w:rPr>
          <w:rFonts w:ascii="Times New Roman" w:hAnsi="Times New Roman" w:cs="Times New Roman"/>
          <w:color w:val="0D0D0D" w:themeColor="text1" w:themeTint="F2"/>
          <w:sz w:val="24"/>
          <w:szCs w:val="24"/>
        </w:rPr>
      </w:pPr>
      <w:r w:rsidRPr="00AF39D9">
        <w:rPr>
          <w:rFonts w:ascii="Times New Roman" w:hAnsi="Times New Roman" w:cs="Times New Roman"/>
          <w:color w:val="0D0D0D" w:themeColor="text1" w:themeTint="F2"/>
          <w:sz w:val="24"/>
          <w:szCs w:val="24"/>
        </w:rPr>
        <w:t xml:space="preserve">Anastopoulo, C.  (n.d.).  </w:t>
      </w:r>
      <w:r w:rsidRPr="00AF39D9">
        <w:rPr>
          <w:rFonts w:ascii="Times New Roman" w:hAnsi="Times New Roman" w:cs="Times New Roman"/>
          <w:i/>
          <w:color w:val="0D0D0D" w:themeColor="text1" w:themeTint="F2"/>
          <w:sz w:val="24"/>
          <w:szCs w:val="24"/>
        </w:rPr>
        <w:t>Judicial selection in S.C.-The process</w:t>
      </w:r>
      <w:r w:rsidRPr="00AF39D9">
        <w:rPr>
          <w:rFonts w:ascii="Times New Roman" w:hAnsi="Times New Roman" w:cs="Times New Roman"/>
          <w:color w:val="0D0D0D" w:themeColor="text1" w:themeTint="F2"/>
          <w:sz w:val="24"/>
          <w:szCs w:val="24"/>
        </w:rPr>
        <w:t>.  Charleston School of Law.</w:t>
      </w:r>
    </w:p>
    <w:p w:rsidR="00E446AF" w:rsidRPr="00AF39D9" w:rsidRDefault="00E446AF" w:rsidP="007D5697">
      <w:pPr>
        <w:spacing w:line="480" w:lineRule="auto"/>
        <w:ind w:left="720" w:hanging="720"/>
        <w:rPr>
          <w:rFonts w:ascii="Times New Roman" w:hAnsi="Times New Roman" w:cs="Times New Roman"/>
          <w:color w:val="0D0D0D" w:themeColor="text1" w:themeTint="F2"/>
          <w:sz w:val="24"/>
          <w:szCs w:val="24"/>
        </w:rPr>
      </w:pPr>
      <w:r w:rsidRPr="00AF39D9">
        <w:rPr>
          <w:rFonts w:ascii="Times New Roman" w:hAnsi="Times New Roman" w:cs="Times New Roman"/>
          <w:color w:val="0D0D0D" w:themeColor="text1" w:themeTint="F2"/>
          <w:sz w:val="24"/>
          <w:szCs w:val="24"/>
        </w:rPr>
        <w:t xml:space="preserve">Judicial Merit Selection Commission, South Carolina Judicial Department, (2011). </w:t>
      </w:r>
      <w:r w:rsidRPr="00AF39D9">
        <w:rPr>
          <w:rFonts w:ascii="Times New Roman" w:hAnsi="Times New Roman" w:cs="Times New Roman"/>
          <w:iCs/>
          <w:color w:val="0D0D0D" w:themeColor="text1" w:themeTint="F2"/>
          <w:sz w:val="24"/>
          <w:szCs w:val="24"/>
        </w:rPr>
        <w:t>How judges are elected in south carolina</w:t>
      </w:r>
      <w:r w:rsidRPr="00AF39D9">
        <w:rPr>
          <w:rFonts w:ascii="Times New Roman" w:hAnsi="Times New Roman" w:cs="Times New Roman"/>
          <w:color w:val="0D0D0D" w:themeColor="text1" w:themeTint="F2"/>
          <w:sz w:val="24"/>
          <w:szCs w:val="24"/>
        </w:rPr>
        <w:t xml:space="preserve"> South Carolina: Retrieved from http://www.judicial.state.sc.us/</w:t>
      </w:r>
    </w:p>
    <w:p w:rsidR="00D470BF" w:rsidRPr="00AF39D9" w:rsidRDefault="00D470BF" w:rsidP="007D5697">
      <w:pPr>
        <w:spacing w:line="480" w:lineRule="auto"/>
        <w:ind w:left="720" w:hanging="720"/>
        <w:contextualSpacing/>
        <w:rPr>
          <w:rFonts w:ascii="Times New Roman" w:hAnsi="Times New Roman" w:cs="Times New Roman"/>
          <w:color w:val="0D0D0D" w:themeColor="text1" w:themeTint="F2"/>
          <w:sz w:val="24"/>
          <w:szCs w:val="24"/>
        </w:rPr>
      </w:pPr>
    </w:p>
    <w:p w:rsidR="00D470BF" w:rsidRPr="00AF39D9" w:rsidRDefault="00D470BF" w:rsidP="007D5697">
      <w:pPr>
        <w:spacing w:line="480" w:lineRule="auto"/>
        <w:rPr>
          <w:rFonts w:ascii="Times New Roman" w:hAnsi="Times New Roman" w:cs="Times New Roman"/>
          <w:color w:val="0D0D0D" w:themeColor="text1" w:themeTint="F2"/>
          <w:sz w:val="24"/>
          <w:szCs w:val="24"/>
        </w:rPr>
      </w:pPr>
    </w:p>
    <w:sectPr w:rsidR="00D470BF" w:rsidRPr="00AF39D9" w:rsidSect="00B214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4549" w:rsidRDefault="00B64549" w:rsidP="00B214DD">
      <w:pPr>
        <w:spacing w:after="0" w:line="240" w:lineRule="auto"/>
      </w:pPr>
      <w:r>
        <w:separator/>
      </w:r>
    </w:p>
  </w:endnote>
  <w:endnote w:type="continuationSeparator" w:id="1">
    <w:p w:rsidR="00B64549" w:rsidRDefault="00B64549" w:rsidP="00B214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4549" w:rsidRDefault="00B64549" w:rsidP="00B214DD">
      <w:pPr>
        <w:spacing w:after="0" w:line="240" w:lineRule="auto"/>
      </w:pPr>
      <w:r>
        <w:separator/>
      </w:r>
    </w:p>
  </w:footnote>
  <w:footnote w:type="continuationSeparator" w:id="1">
    <w:p w:rsidR="00B64549" w:rsidRDefault="00B64549" w:rsidP="00B214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DD" w:rsidRPr="00B214DD" w:rsidRDefault="00B214DD" w:rsidP="00B214DD">
    <w:pPr>
      <w:pStyle w:val="Header"/>
      <w:spacing w:line="480" w:lineRule="auto"/>
      <w:jc w:val="right"/>
      <w:rPr>
        <w:rFonts w:ascii="Times New Roman" w:hAnsi="Times New Roman" w:cs="Times New Roman"/>
        <w:color w:val="0D0D0D" w:themeColor="text1" w:themeTint="F2"/>
        <w:sz w:val="24"/>
        <w:szCs w:val="24"/>
      </w:rPr>
    </w:pPr>
    <w:r w:rsidRPr="00B214DD">
      <w:rPr>
        <w:rFonts w:ascii="Times New Roman" w:eastAsia="Times New Roman" w:hAnsi="Times New Roman" w:cs="Times New Roman"/>
        <w:color w:val="0D0D0D" w:themeColor="text1" w:themeTint="F2"/>
        <w:sz w:val="24"/>
        <w:szCs w:val="24"/>
        <w:lang w:eastAsia="en-GB"/>
      </w:rPr>
      <w:t>CAROLINA STATE'S JUDICIAL SELECTION SYSTEM</w:t>
    </w:r>
    <w:r w:rsidRPr="00B214DD">
      <w:rPr>
        <w:rFonts w:ascii="Times New Roman" w:hAnsi="Times New Roman" w:cs="Times New Roman"/>
        <w:color w:val="0D0D0D" w:themeColor="text1" w:themeTint="F2"/>
        <w:sz w:val="24"/>
        <w:szCs w:val="24"/>
      </w:rPr>
      <w:t xml:space="preserve"> </w:t>
    </w:r>
    <w:r w:rsidRPr="00B214DD">
      <w:rPr>
        <w:rFonts w:ascii="Times New Roman" w:hAnsi="Times New Roman" w:cs="Times New Roman"/>
        <w:color w:val="0D0D0D" w:themeColor="text1" w:themeTint="F2"/>
        <w:sz w:val="24"/>
        <w:szCs w:val="24"/>
      </w:rPr>
      <w:tab/>
    </w:r>
    <w:sdt>
      <w:sdtPr>
        <w:rPr>
          <w:rFonts w:ascii="Times New Roman" w:hAnsi="Times New Roman" w:cs="Times New Roman"/>
          <w:color w:val="0D0D0D" w:themeColor="text1" w:themeTint="F2"/>
          <w:sz w:val="24"/>
          <w:szCs w:val="24"/>
        </w:rPr>
        <w:id w:val="29419978"/>
        <w:docPartObj>
          <w:docPartGallery w:val="Page Numbers (Top of Page)"/>
          <w:docPartUnique/>
        </w:docPartObj>
      </w:sdtPr>
      <w:sdtContent>
        <w:r w:rsidR="000235EE" w:rsidRPr="00B214DD">
          <w:rPr>
            <w:rFonts w:ascii="Times New Roman" w:hAnsi="Times New Roman" w:cs="Times New Roman"/>
            <w:color w:val="0D0D0D" w:themeColor="text1" w:themeTint="F2"/>
            <w:sz w:val="24"/>
            <w:szCs w:val="24"/>
          </w:rPr>
          <w:fldChar w:fldCharType="begin"/>
        </w:r>
        <w:r w:rsidRPr="00B214DD">
          <w:rPr>
            <w:rFonts w:ascii="Times New Roman" w:hAnsi="Times New Roman" w:cs="Times New Roman"/>
            <w:color w:val="0D0D0D" w:themeColor="text1" w:themeTint="F2"/>
            <w:sz w:val="24"/>
            <w:szCs w:val="24"/>
          </w:rPr>
          <w:instrText xml:space="preserve"> PAGE   \* MERGEFORMAT </w:instrText>
        </w:r>
        <w:r w:rsidR="000235EE" w:rsidRPr="00B214DD">
          <w:rPr>
            <w:rFonts w:ascii="Times New Roman" w:hAnsi="Times New Roman" w:cs="Times New Roman"/>
            <w:color w:val="0D0D0D" w:themeColor="text1" w:themeTint="F2"/>
            <w:sz w:val="24"/>
            <w:szCs w:val="24"/>
          </w:rPr>
          <w:fldChar w:fldCharType="separate"/>
        </w:r>
        <w:r w:rsidR="0007538D">
          <w:rPr>
            <w:rFonts w:ascii="Times New Roman" w:hAnsi="Times New Roman" w:cs="Times New Roman"/>
            <w:noProof/>
            <w:color w:val="0D0D0D" w:themeColor="text1" w:themeTint="F2"/>
            <w:sz w:val="24"/>
            <w:szCs w:val="24"/>
          </w:rPr>
          <w:t>2</w:t>
        </w:r>
        <w:r w:rsidR="000235EE" w:rsidRPr="00B214DD">
          <w:rPr>
            <w:rFonts w:ascii="Times New Roman" w:hAnsi="Times New Roman" w:cs="Times New Roman"/>
            <w:color w:val="0D0D0D" w:themeColor="text1" w:themeTint="F2"/>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DD" w:rsidRPr="00B214DD" w:rsidRDefault="00B214DD" w:rsidP="00B214DD">
    <w:pPr>
      <w:shd w:val="clear" w:color="auto" w:fill="FFFFFF"/>
      <w:spacing w:line="480" w:lineRule="auto"/>
      <w:jc w:val="center"/>
      <w:rPr>
        <w:rFonts w:ascii="Times New Roman" w:eastAsia="Times New Roman" w:hAnsi="Times New Roman" w:cs="Times New Roman"/>
        <w:color w:val="0D0D0D" w:themeColor="text1" w:themeTint="F2"/>
        <w:sz w:val="24"/>
        <w:szCs w:val="24"/>
        <w:lang w:eastAsia="en-GB"/>
      </w:rPr>
    </w:pPr>
    <w:r w:rsidRPr="00B214DD">
      <w:rPr>
        <w:rFonts w:ascii="Times New Roman" w:hAnsi="Times New Roman" w:cs="Times New Roman"/>
        <w:color w:val="0D0D0D" w:themeColor="text1" w:themeTint="F2"/>
        <w:sz w:val="24"/>
        <w:szCs w:val="24"/>
      </w:rPr>
      <w:t xml:space="preserve">Running Head: </w:t>
    </w:r>
    <w:r w:rsidRPr="00B214DD">
      <w:rPr>
        <w:rFonts w:ascii="Times New Roman" w:eastAsia="Times New Roman" w:hAnsi="Times New Roman" w:cs="Times New Roman"/>
        <w:color w:val="0D0D0D" w:themeColor="text1" w:themeTint="F2"/>
        <w:sz w:val="24"/>
        <w:szCs w:val="24"/>
        <w:lang w:eastAsia="en-GB"/>
      </w:rPr>
      <w:t>CAROLINA STATE'S JUDICIAL SELECTION SYSTEM</w:t>
    </w:r>
    <w:r w:rsidRPr="00B214DD">
      <w:rPr>
        <w:rFonts w:ascii="Times New Roman" w:eastAsia="Times New Roman" w:hAnsi="Times New Roman" w:cs="Times New Roman"/>
        <w:color w:val="0D0D0D" w:themeColor="text1" w:themeTint="F2"/>
        <w:sz w:val="24"/>
        <w:szCs w:val="24"/>
        <w:lang w:eastAsia="en-GB"/>
      </w:rPr>
      <w:tab/>
    </w:r>
    <w:r w:rsidRPr="00B214DD">
      <w:rPr>
        <w:rFonts w:ascii="Times New Roman" w:eastAsia="Times New Roman" w:hAnsi="Times New Roman" w:cs="Times New Roman"/>
        <w:color w:val="0D0D0D" w:themeColor="text1" w:themeTint="F2"/>
        <w:sz w:val="24"/>
        <w:szCs w:val="24"/>
        <w:lang w:eastAsia="en-GB"/>
      </w:rPr>
      <w:tab/>
    </w:r>
    <w:sdt>
      <w:sdtPr>
        <w:rPr>
          <w:rFonts w:ascii="Times New Roman" w:hAnsi="Times New Roman" w:cs="Times New Roman"/>
          <w:color w:val="0D0D0D" w:themeColor="text1" w:themeTint="F2"/>
          <w:sz w:val="24"/>
          <w:szCs w:val="24"/>
        </w:rPr>
        <w:id w:val="29419948"/>
        <w:docPartObj>
          <w:docPartGallery w:val="Page Numbers (Top of Page)"/>
          <w:docPartUnique/>
        </w:docPartObj>
      </w:sdtPr>
      <w:sdtContent>
        <w:r w:rsidR="000235EE" w:rsidRPr="00B214DD">
          <w:rPr>
            <w:rFonts w:ascii="Times New Roman" w:hAnsi="Times New Roman" w:cs="Times New Roman"/>
            <w:color w:val="0D0D0D" w:themeColor="text1" w:themeTint="F2"/>
            <w:sz w:val="24"/>
            <w:szCs w:val="24"/>
          </w:rPr>
          <w:fldChar w:fldCharType="begin"/>
        </w:r>
        <w:r w:rsidRPr="00B214DD">
          <w:rPr>
            <w:rFonts w:ascii="Times New Roman" w:hAnsi="Times New Roman" w:cs="Times New Roman"/>
            <w:color w:val="0D0D0D" w:themeColor="text1" w:themeTint="F2"/>
            <w:sz w:val="24"/>
            <w:szCs w:val="24"/>
          </w:rPr>
          <w:instrText xml:space="preserve"> PAGE   \* MERGEFORMAT </w:instrText>
        </w:r>
        <w:r w:rsidR="000235EE" w:rsidRPr="00B214DD">
          <w:rPr>
            <w:rFonts w:ascii="Times New Roman" w:hAnsi="Times New Roman" w:cs="Times New Roman"/>
            <w:color w:val="0D0D0D" w:themeColor="text1" w:themeTint="F2"/>
            <w:sz w:val="24"/>
            <w:szCs w:val="24"/>
          </w:rPr>
          <w:fldChar w:fldCharType="separate"/>
        </w:r>
        <w:r w:rsidR="0007538D">
          <w:rPr>
            <w:rFonts w:ascii="Times New Roman" w:hAnsi="Times New Roman" w:cs="Times New Roman"/>
            <w:noProof/>
            <w:color w:val="0D0D0D" w:themeColor="text1" w:themeTint="F2"/>
            <w:sz w:val="24"/>
            <w:szCs w:val="24"/>
          </w:rPr>
          <w:t>1</w:t>
        </w:r>
        <w:r w:rsidR="000235EE" w:rsidRPr="00B214DD">
          <w:rPr>
            <w:rFonts w:ascii="Times New Roman" w:hAnsi="Times New Roman" w:cs="Times New Roman"/>
            <w:color w:val="0D0D0D" w:themeColor="text1" w:themeTint="F2"/>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048C"/>
    <w:rsid w:val="00004515"/>
    <w:rsid w:val="000147DF"/>
    <w:rsid w:val="000235EE"/>
    <w:rsid w:val="00074AC7"/>
    <w:rsid w:val="0007538D"/>
    <w:rsid w:val="000912DA"/>
    <w:rsid w:val="000A4293"/>
    <w:rsid w:val="000F638A"/>
    <w:rsid w:val="0012786F"/>
    <w:rsid w:val="001461A5"/>
    <w:rsid w:val="0018474C"/>
    <w:rsid w:val="001A67C2"/>
    <w:rsid w:val="001B3EFF"/>
    <w:rsid w:val="001C7EC6"/>
    <w:rsid w:val="001D75D5"/>
    <w:rsid w:val="001E33C2"/>
    <w:rsid w:val="001F22EF"/>
    <w:rsid w:val="001F482C"/>
    <w:rsid w:val="00282120"/>
    <w:rsid w:val="002A1164"/>
    <w:rsid w:val="002D4A2D"/>
    <w:rsid w:val="002E1CE9"/>
    <w:rsid w:val="002E7D80"/>
    <w:rsid w:val="00305533"/>
    <w:rsid w:val="00306961"/>
    <w:rsid w:val="00317604"/>
    <w:rsid w:val="00384A46"/>
    <w:rsid w:val="003B6357"/>
    <w:rsid w:val="003D1C56"/>
    <w:rsid w:val="003E4F1D"/>
    <w:rsid w:val="003F40CC"/>
    <w:rsid w:val="00405323"/>
    <w:rsid w:val="004161D0"/>
    <w:rsid w:val="00482B57"/>
    <w:rsid w:val="004E2EC9"/>
    <w:rsid w:val="005026CA"/>
    <w:rsid w:val="005178F7"/>
    <w:rsid w:val="0054523C"/>
    <w:rsid w:val="0056098B"/>
    <w:rsid w:val="0057045E"/>
    <w:rsid w:val="005735D7"/>
    <w:rsid w:val="00577669"/>
    <w:rsid w:val="0060048C"/>
    <w:rsid w:val="00604E5E"/>
    <w:rsid w:val="00612537"/>
    <w:rsid w:val="00612A13"/>
    <w:rsid w:val="00656F61"/>
    <w:rsid w:val="006829E3"/>
    <w:rsid w:val="00694C50"/>
    <w:rsid w:val="00697FBC"/>
    <w:rsid w:val="006A7771"/>
    <w:rsid w:val="006F4FF0"/>
    <w:rsid w:val="0070704B"/>
    <w:rsid w:val="0071087A"/>
    <w:rsid w:val="007441D3"/>
    <w:rsid w:val="00786C44"/>
    <w:rsid w:val="007A2F5A"/>
    <w:rsid w:val="007C0A58"/>
    <w:rsid w:val="007C295C"/>
    <w:rsid w:val="007C2BCF"/>
    <w:rsid w:val="007C6394"/>
    <w:rsid w:val="007D5697"/>
    <w:rsid w:val="00815016"/>
    <w:rsid w:val="00842BCA"/>
    <w:rsid w:val="0084513F"/>
    <w:rsid w:val="00883DFD"/>
    <w:rsid w:val="008A1B66"/>
    <w:rsid w:val="008A2EDD"/>
    <w:rsid w:val="008B2A3E"/>
    <w:rsid w:val="008F5110"/>
    <w:rsid w:val="00922C1E"/>
    <w:rsid w:val="00935660"/>
    <w:rsid w:val="00937A5E"/>
    <w:rsid w:val="00943940"/>
    <w:rsid w:val="00943F01"/>
    <w:rsid w:val="00951F75"/>
    <w:rsid w:val="009527CC"/>
    <w:rsid w:val="009779EB"/>
    <w:rsid w:val="009A6864"/>
    <w:rsid w:val="00A12E83"/>
    <w:rsid w:val="00A17DE3"/>
    <w:rsid w:val="00A972E6"/>
    <w:rsid w:val="00AC4966"/>
    <w:rsid w:val="00AF39D9"/>
    <w:rsid w:val="00B00948"/>
    <w:rsid w:val="00B056FF"/>
    <w:rsid w:val="00B2086B"/>
    <w:rsid w:val="00B214DD"/>
    <w:rsid w:val="00B55C6C"/>
    <w:rsid w:val="00B61178"/>
    <w:rsid w:val="00B64549"/>
    <w:rsid w:val="00BD00A8"/>
    <w:rsid w:val="00BD608A"/>
    <w:rsid w:val="00BE000F"/>
    <w:rsid w:val="00BE0160"/>
    <w:rsid w:val="00BE7102"/>
    <w:rsid w:val="00C453F8"/>
    <w:rsid w:val="00C46B21"/>
    <w:rsid w:val="00C65B2D"/>
    <w:rsid w:val="00C84A4F"/>
    <w:rsid w:val="00C94712"/>
    <w:rsid w:val="00C96F52"/>
    <w:rsid w:val="00CC14F2"/>
    <w:rsid w:val="00CC6CD1"/>
    <w:rsid w:val="00D470BF"/>
    <w:rsid w:val="00D63143"/>
    <w:rsid w:val="00D76945"/>
    <w:rsid w:val="00D932D5"/>
    <w:rsid w:val="00DA30A7"/>
    <w:rsid w:val="00DC08D5"/>
    <w:rsid w:val="00DE74E2"/>
    <w:rsid w:val="00DF2632"/>
    <w:rsid w:val="00E25E84"/>
    <w:rsid w:val="00E3376F"/>
    <w:rsid w:val="00E446AF"/>
    <w:rsid w:val="00E57FAB"/>
    <w:rsid w:val="00E82390"/>
    <w:rsid w:val="00EF1CC5"/>
    <w:rsid w:val="00F00ED7"/>
    <w:rsid w:val="00F31237"/>
    <w:rsid w:val="00F338B2"/>
    <w:rsid w:val="00F622A6"/>
    <w:rsid w:val="00FB28C5"/>
    <w:rsid w:val="00FB2C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4DD"/>
  </w:style>
  <w:style w:type="paragraph" w:styleId="Footer">
    <w:name w:val="footer"/>
    <w:basedOn w:val="Normal"/>
    <w:link w:val="FooterChar"/>
    <w:uiPriority w:val="99"/>
    <w:semiHidden/>
    <w:unhideWhenUsed/>
    <w:rsid w:val="00B214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14DD"/>
  </w:style>
</w:styles>
</file>

<file path=word/webSettings.xml><?xml version="1.0" encoding="utf-8"?>
<w:webSettings xmlns:r="http://schemas.openxmlformats.org/officeDocument/2006/relationships" xmlns:w="http://schemas.openxmlformats.org/wordprocessingml/2006/main">
  <w:divs>
    <w:div w:id="745998952">
      <w:bodyDiv w:val="1"/>
      <w:marLeft w:val="0"/>
      <w:marRight w:val="0"/>
      <w:marTop w:val="0"/>
      <w:marBottom w:val="0"/>
      <w:divBdr>
        <w:top w:val="none" w:sz="0" w:space="0" w:color="auto"/>
        <w:left w:val="none" w:sz="0" w:space="0" w:color="auto"/>
        <w:bottom w:val="none" w:sz="0" w:space="0" w:color="auto"/>
        <w:right w:val="none" w:sz="0" w:space="0" w:color="auto"/>
      </w:divBdr>
      <w:divsChild>
        <w:div w:id="172216548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2018-10-31T08:09:00Z</dcterms:created>
  <dcterms:modified xsi:type="dcterms:W3CDTF">2018-10-31T08:09:00Z</dcterms:modified>
</cp:coreProperties>
</file>